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B6804" w14:textId="77777777" w:rsidR="00E01CC1" w:rsidRPr="00E01CC1" w:rsidRDefault="00EE4D29" w:rsidP="00E01CC1">
      <w:pPr>
        <w:jc w:val="both"/>
        <w:rPr>
          <w:rFonts w:cs="Times New Roman"/>
        </w:rPr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E01CC1" w:rsidRPr="00E01CC1">
        <w:rPr>
          <w:rFonts w:cs="Times New Roman"/>
          <w:bCs/>
        </w:rPr>
        <w:t>Margaux Fox, Attorney</w:t>
      </w:r>
    </w:p>
    <w:p w14:paraId="5A7BCDF8" w14:textId="59AE77EF" w:rsidR="00EE4D29" w:rsidRPr="00E01CC1" w:rsidRDefault="00E01CC1" w:rsidP="00E01CC1">
      <w:pPr>
        <w:ind w:left="720" w:firstLine="720"/>
        <w:jc w:val="both"/>
        <w:rPr>
          <w:rFonts w:eastAsia="Calibri" w:cs="Times New Roman"/>
        </w:rPr>
      </w:pPr>
      <w:r w:rsidRPr="00E01CC1">
        <w:rPr>
          <w:rFonts w:cs="Times New Roman"/>
        </w:rPr>
        <w:t>Legal Division</w:t>
      </w:r>
    </w:p>
    <w:p w14:paraId="5A998E8B" w14:textId="77777777" w:rsidR="00EE4D29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4FFE471B" w14:textId="1EA2F90C" w:rsidR="00EE4D29" w:rsidRDefault="00EE4D29" w:rsidP="00EE4D29">
      <w:pPr>
        <w:jc w:val="both"/>
        <w:rPr>
          <w:b/>
          <w:bCs/>
        </w:rPr>
      </w:pPr>
      <w:r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E01CC1" w:rsidRPr="00E01CC1">
        <w:rPr>
          <w:rFonts w:cs="Times New Roman"/>
          <w:bCs/>
        </w:rPr>
        <w:t>Sandra Hale</w:t>
      </w:r>
      <w:r>
        <w:rPr>
          <w:bCs/>
        </w:rPr>
        <w:t>,</w:t>
      </w:r>
      <w:r>
        <w:t xml:space="preserve"> </w:t>
      </w:r>
      <w:bookmarkStart w:id="0" w:name="_Hlk61339093"/>
      <w:r w:rsidR="00E01CC1">
        <w:t>Regulatory Accountant</w:t>
      </w:r>
    </w:p>
    <w:bookmarkEnd w:id="0"/>
    <w:p w14:paraId="68FAC420" w14:textId="77777777" w:rsidR="00EE4D29" w:rsidRDefault="00EE4D29" w:rsidP="00EE4D29">
      <w:pPr>
        <w:ind w:left="1440"/>
        <w:jc w:val="both"/>
        <w:rPr>
          <w:rFonts w:cs="Times New Roman"/>
        </w:rPr>
      </w:pPr>
      <w:r>
        <w:rPr>
          <w:rFonts w:cs="Times New Roman"/>
        </w:rPr>
        <w:t>Rate Regulation Division</w:t>
      </w:r>
    </w:p>
    <w:p w14:paraId="77430059" w14:textId="77777777" w:rsidR="00EE4D29" w:rsidRPr="00EE4D29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607158C8" w14:textId="460D415A" w:rsidR="00EE4D29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823946" w:rsidRPr="00823946">
        <w:rPr>
          <w:rFonts w:cs="Times New Roman"/>
          <w:bCs/>
        </w:rPr>
        <w:t>May 30, 2023</w:t>
      </w:r>
    </w:p>
    <w:p w14:paraId="7767D3A2" w14:textId="77777777" w:rsidR="00EE4D29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652EEC07" w14:textId="7AAEAF9E" w:rsidR="00EE4D29" w:rsidRPr="00E01CC1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="00E01CC1">
        <w:rPr>
          <w:rFonts w:cs="Times New Roman"/>
          <w:bCs/>
        </w:rPr>
        <w:t xml:space="preserve">Tariff Control No. 54679 </w:t>
      </w:r>
      <w:r w:rsidR="00E01CC1">
        <w:t>–</w:t>
      </w:r>
      <w:r>
        <w:t xml:space="preserve"> </w:t>
      </w:r>
      <w:r w:rsidR="00E01CC1" w:rsidRPr="00E01CC1">
        <w:rPr>
          <w:rFonts w:cs="Times New Roman"/>
          <w:i/>
        </w:rPr>
        <w:t>Application</w:t>
      </w:r>
      <w:r w:rsidR="00E01CC1">
        <w:rPr>
          <w:rFonts w:cs="Times New Roman"/>
          <w:i/>
        </w:rPr>
        <w:t xml:space="preserve"> of Aqua Texas, Inc. for 2022 True-Up Report and Pass-Through Gallonage Charge for </w:t>
      </w:r>
      <w:r w:rsidR="007B7B0F">
        <w:rPr>
          <w:rFonts w:cs="Times New Roman"/>
          <w:i/>
        </w:rPr>
        <w:t>I</w:t>
      </w:r>
      <w:r w:rsidR="00E01CC1">
        <w:rPr>
          <w:rFonts w:cs="Times New Roman"/>
          <w:i/>
        </w:rPr>
        <w:t>ts North Region</w:t>
      </w:r>
    </w:p>
    <w:p w14:paraId="5421C440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2E72A0D2" w14:textId="77777777" w:rsidR="00C46757" w:rsidRDefault="00C46757" w:rsidP="00C46757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7E905C65" w14:textId="59D91F55" w:rsidR="00C907CD" w:rsidRPr="00B1783D" w:rsidRDefault="00C907CD" w:rsidP="00C907CD">
      <w:pPr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C07098">
        <w:rPr>
          <w:rFonts w:cs="Times New Roman"/>
        </w:rPr>
        <w:t xml:space="preserve"> </w:t>
      </w:r>
      <w:r w:rsidR="00E01CC1">
        <w:rPr>
          <w:rFonts w:cs="Times New Roman"/>
        </w:rPr>
        <w:t>February 23, 2023</w:t>
      </w:r>
      <w:r w:rsidRPr="00B1783D">
        <w:rPr>
          <w:rFonts w:cs="Times New Roman"/>
          <w:b/>
          <w:bCs/>
        </w:rPr>
        <w:t xml:space="preserve">, </w:t>
      </w:r>
      <w:r w:rsidR="00E01CC1" w:rsidRPr="00E01CC1">
        <w:rPr>
          <w:rFonts w:cs="Times New Roman"/>
        </w:rPr>
        <w:t>Aqua Texas, Inc.</w:t>
      </w:r>
      <w:r w:rsidR="00AD7FCC" w:rsidRPr="00B1783D">
        <w:rPr>
          <w:rFonts w:cs="Times New Roman"/>
        </w:rPr>
        <w:t xml:space="preserve"> </w:t>
      </w:r>
      <w:r w:rsidRPr="00B1783D">
        <w:rPr>
          <w:rFonts w:cs="Times New Roman"/>
        </w:rPr>
        <w:t>(A</w:t>
      </w:r>
      <w:r w:rsidR="00EB6D8F">
        <w:rPr>
          <w:rFonts w:cs="Times New Roman"/>
        </w:rPr>
        <w:t>qua</w:t>
      </w:r>
      <w:r w:rsidRPr="00B1783D">
        <w:rPr>
          <w:rFonts w:cs="Times New Roman"/>
        </w:rPr>
        <w:t>)</w:t>
      </w:r>
      <w:r w:rsidR="00E71D5B" w:rsidRPr="00B1783D">
        <w:rPr>
          <w:rFonts w:cs="Times New Roman"/>
        </w:rPr>
        <w:t xml:space="preserve"> </w:t>
      </w:r>
      <w:r w:rsidRPr="00B1783D">
        <w:rPr>
          <w:rFonts w:cs="Times New Roman"/>
        </w:rPr>
        <w:t xml:space="preserve">filed an application to implement </w:t>
      </w:r>
      <w:r w:rsidR="00AD7FCC" w:rsidRPr="00B1783D">
        <w:rPr>
          <w:rFonts w:cs="Times New Roman"/>
        </w:rPr>
        <w:t>a</w:t>
      </w:r>
      <w:r w:rsidRPr="00B1783D">
        <w:rPr>
          <w:rFonts w:cs="Times New Roman"/>
        </w:rPr>
        <w:t xml:space="preserve"> pass-through rate change </w:t>
      </w:r>
      <w:r w:rsidR="00B376A7">
        <w:rPr>
          <w:rFonts w:cs="Times New Roman"/>
        </w:rPr>
        <w:t xml:space="preserve">under </w:t>
      </w:r>
      <w:r w:rsidR="00C07098" w:rsidRPr="00B1783D">
        <w:t xml:space="preserve">16 </w:t>
      </w:r>
      <w:r w:rsidR="00C07098" w:rsidRPr="00B1783D">
        <w:rPr>
          <w:rFonts w:cs="Times New Roman"/>
        </w:rPr>
        <w:t>Texas Administrative Code (TAC) § 24.25(b)(2)</w:t>
      </w:r>
      <w:r w:rsidRPr="00B1783D">
        <w:t xml:space="preserve"> for</w:t>
      </w:r>
      <w:r w:rsidR="00BB3B7E" w:rsidRPr="00B1783D">
        <w:t xml:space="preserve"> an increase in the</w:t>
      </w:r>
      <w:r w:rsidRPr="00B1783D">
        <w:t xml:space="preserve"> </w:t>
      </w:r>
      <w:r w:rsidR="00304D1F" w:rsidRPr="00B1783D">
        <w:t>f</w:t>
      </w:r>
      <w:r w:rsidRPr="00B1783D">
        <w:t xml:space="preserve">ees </w:t>
      </w:r>
      <w:r w:rsidR="004A0BFF">
        <w:t xml:space="preserve">charged </w:t>
      </w:r>
      <w:r w:rsidR="00E95EDD">
        <w:t xml:space="preserve">and true-up </w:t>
      </w:r>
      <w:r w:rsidR="004A0BFF">
        <w:t xml:space="preserve">of </w:t>
      </w:r>
      <w:r w:rsidR="00E95EDD">
        <w:t xml:space="preserve">eighteen entities in the region, listed on page 2 of 15 of the application.  </w:t>
      </w:r>
      <w:r w:rsidR="004A0BFF">
        <w:t>The true-up increases the fee charged to the customers from $0.4231 to $0.6224 per thousand gal</w:t>
      </w:r>
      <w:r w:rsidR="004A0BFF" w:rsidRPr="00B1783D">
        <w:t xml:space="preserve">lons effective </w:t>
      </w:r>
      <w:r w:rsidR="004A0BFF">
        <w:t xml:space="preserve">March 1, 2023.  </w:t>
      </w:r>
      <w:r w:rsidR="005F3936">
        <w:t xml:space="preserve">Aqua supplemented its application on March 21, 2023.  </w:t>
      </w:r>
      <w:r w:rsidR="00F64187">
        <w:t>Aqua represents that the City of Stockton Bend (formerly known as Brazos Bend) authorizes such changes for in-City water service under the same provision.</w:t>
      </w:r>
      <w:r w:rsidR="00F64187">
        <w:rPr>
          <w:rStyle w:val="FootnoteReference"/>
        </w:rPr>
        <w:footnoteReference w:id="1"/>
      </w:r>
    </w:p>
    <w:p w14:paraId="0335932B" w14:textId="77777777" w:rsidR="00C907CD" w:rsidRPr="00B1783D" w:rsidRDefault="00C907CD" w:rsidP="00C907CD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395B917E" w14:textId="4AF547C0" w:rsidR="005B068A" w:rsidRDefault="00EB6D8F" w:rsidP="00BB3B7E">
      <w:pPr>
        <w:jc w:val="both"/>
        <w:rPr>
          <w:rFonts w:cs="Times New Roman"/>
        </w:rPr>
      </w:pPr>
      <w:r>
        <w:rPr>
          <w:rFonts w:cs="Times New Roman"/>
        </w:rPr>
        <w:t xml:space="preserve">Aqua </w:t>
      </w:r>
      <w:r w:rsidR="002C3A71">
        <w:rPr>
          <w:rFonts w:cs="Times New Roman"/>
        </w:rPr>
        <w:t xml:space="preserve">is providing service under certificate of convenience and necessity number </w:t>
      </w:r>
      <w:r w:rsidR="00EF3C8E">
        <w:rPr>
          <w:rFonts w:cs="Times New Roman"/>
        </w:rPr>
        <w:t xml:space="preserve">(CCN) </w:t>
      </w:r>
      <w:r w:rsidRPr="00EB6D8F">
        <w:rPr>
          <w:rFonts w:cs="Times New Roman"/>
          <w:bCs/>
        </w:rPr>
        <w:t>13201</w:t>
      </w:r>
      <w:r w:rsidR="00B376A7">
        <w:rPr>
          <w:rFonts w:cs="Times New Roman"/>
        </w:rPr>
        <w:t>,</w:t>
      </w:r>
      <w:r w:rsidR="002C3A71">
        <w:rPr>
          <w:rStyle w:val="FootnoteReference"/>
          <w:rFonts w:cs="Times New Roman"/>
        </w:rPr>
        <w:footnoteReference w:id="2"/>
      </w:r>
      <w:r w:rsidR="00B376A7">
        <w:rPr>
          <w:rFonts w:cs="Times New Roman"/>
        </w:rPr>
        <w:t xml:space="preserve"> and the application included </w:t>
      </w:r>
      <w:r w:rsidR="00B376A7">
        <w:t xml:space="preserve">a copy of the tariff pages for CCN number </w:t>
      </w:r>
      <w:r w:rsidRPr="00EB6D8F">
        <w:rPr>
          <w:rFonts w:cs="Times New Roman"/>
          <w:bCs/>
        </w:rPr>
        <w:t>13201</w:t>
      </w:r>
      <w:r w:rsidR="00B376A7">
        <w:t xml:space="preserve"> that contain the rates that will change </w:t>
      </w:r>
      <w:r w:rsidR="005B068A">
        <w:t xml:space="preserve">if the </w:t>
      </w:r>
      <w:r w:rsidR="00B376A7">
        <w:t>application is approved.</w:t>
      </w:r>
      <w:r w:rsidR="00B376A7">
        <w:rPr>
          <w:rStyle w:val="FootnoteReference"/>
        </w:rPr>
        <w:footnoteReference w:id="3"/>
      </w:r>
      <w:r w:rsidR="005B068A">
        <w:t xml:space="preserve">  A copy of the notice provided to customers was also filed with the application.</w:t>
      </w:r>
      <w:r w:rsidR="005B068A">
        <w:rPr>
          <w:rStyle w:val="FootnoteReference"/>
        </w:rPr>
        <w:footnoteReference w:id="4"/>
      </w:r>
    </w:p>
    <w:p w14:paraId="08E96373" w14:textId="77777777" w:rsidR="005B068A" w:rsidRDefault="005B068A" w:rsidP="00BB3B7E">
      <w:pPr>
        <w:jc w:val="both"/>
        <w:rPr>
          <w:rFonts w:cs="Times New Roman"/>
        </w:rPr>
      </w:pPr>
    </w:p>
    <w:p w14:paraId="7C98E0A1" w14:textId="241D3390" w:rsidR="0079381E" w:rsidRDefault="00B62AAA" w:rsidP="00BB3B7E">
      <w:pPr>
        <w:jc w:val="both"/>
        <w:rPr>
          <w:rFonts w:cs="Times New Roman"/>
        </w:rPr>
      </w:pPr>
      <w:r>
        <w:rPr>
          <w:rFonts w:cs="Times New Roman"/>
        </w:rPr>
        <w:t>Aqua</w:t>
      </w:r>
      <w:r w:rsidR="005E3029" w:rsidRPr="00B1783D">
        <w:rPr>
          <w:rFonts w:cs="Times New Roman"/>
        </w:rPr>
        <w:t xml:space="preserve"> has requested a pass-through rate change f</w:t>
      </w:r>
      <w:r w:rsidR="002C3A71">
        <w:rPr>
          <w:rFonts w:cs="Times New Roman"/>
        </w:rPr>
        <w:t>rom</w:t>
      </w:r>
      <w:r w:rsidR="005E3029" w:rsidRPr="00B1783D">
        <w:rPr>
          <w:rFonts w:cs="Times New Roman"/>
        </w:rPr>
        <w:t xml:space="preserve"> </w:t>
      </w:r>
      <w:r w:rsidR="00C72869" w:rsidRPr="00B62AAA">
        <w:rPr>
          <w:rFonts w:cs="Times New Roman"/>
        </w:rPr>
        <w:t>$</w:t>
      </w:r>
      <w:r w:rsidRPr="00B62AAA">
        <w:rPr>
          <w:rFonts w:cs="Times New Roman"/>
        </w:rPr>
        <w:t>0.4231</w:t>
      </w:r>
      <w:r w:rsidR="00C72869" w:rsidRPr="00B62AAA">
        <w:rPr>
          <w:rFonts w:cs="Times New Roman"/>
        </w:rPr>
        <w:t xml:space="preserve"> </w:t>
      </w:r>
      <w:r w:rsidR="005E3029" w:rsidRPr="00B62AAA">
        <w:rPr>
          <w:rFonts w:cs="Times New Roman"/>
        </w:rPr>
        <w:t xml:space="preserve">to </w:t>
      </w:r>
      <w:r w:rsidR="00C72869" w:rsidRPr="00B62AAA">
        <w:rPr>
          <w:rFonts w:cs="Times New Roman"/>
        </w:rPr>
        <w:t>$</w:t>
      </w:r>
      <w:r w:rsidRPr="00B62AAA">
        <w:rPr>
          <w:rFonts w:cs="Times New Roman"/>
        </w:rPr>
        <w:t>0.6224</w:t>
      </w:r>
      <w:r w:rsidR="00C72869" w:rsidRPr="00B1783D">
        <w:rPr>
          <w:rFonts w:cs="Times New Roman"/>
        </w:rPr>
        <w:t xml:space="preserve"> </w:t>
      </w:r>
      <w:r w:rsidR="005E3029" w:rsidRPr="00B1783D">
        <w:rPr>
          <w:rFonts w:cs="Times New Roman"/>
        </w:rPr>
        <w:t xml:space="preserve">per </w:t>
      </w:r>
      <w:r w:rsidR="00BB3B7E" w:rsidRPr="00B1783D">
        <w:rPr>
          <w:rFonts w:cs="Times New Roman"/>
        </w:rPr>
        <w:t>thousand</w:t>
      </w:r>
      <w:r w:rsidR="005E3029" w:rsidRPr="00B1783D">
        <w:rPr>
          <w:rFonts w:cs="Times New Roman"/>
        </w:rPr>
        <w:t xml:space="preserve"> gallons</w:t>
      </w:r>
      <w:r w:rsidR="00BB3B7E" w:rsidRPr="00B1783D">
        <w:rPr>
          <w:rFonts w:cs="Times New Roman"/>
        </w:rPr>
        <w:t xml:space="preserve"> </w:t>
      </w:r>
      <w:r w:rsidR="00BB3B7E" w:rsidRPr="00B1783D">
        <w:t xml:space="preserve">for the </w:t>
      </w:r>
      <w:r w:rsidRPr="00B62AAA">
        <w:rPr>
          <w:bCs/>
        </w:rPr>
        <w:t>subdivisions listed on pages 3 through 6 of 15 of the application</w:t>
      </w:r>
      <w:r w:rsidR="00BB3B7E" w:rsidRPr="00B1783D">
        <w:t>.</w:t>
      </w:r>
      <w:r w:rsidR="002C3A71">
        <w:rPr>
          <w:rStyle w:val="FootnoteReference"/>
        </w:rPr>
        <w:footnoteReference w:id="5"/>
      </w:r>
      <w:r w:rsidR="005E3029" w:rsidRPr="00B1783D">
        <w:rPr>
          <w:rFonts w:cs="Times New Roman"/>
        </w:rPr>
        <w:t xml:space="preserve"> </w:t>
      </w:r>
      <w:r w:rsidR="005B068A">
        <w:rPr>
          <w:rFonts w:cs="Times New Roman"/>
        </w:rPr>
        <w:t xml:space="preserve"> </w:t>
      </w:r>
      <w:r w:rsidR="00BB3B7E" w:rsidRPr="00B1783D">
        <w:rPr>
          <w:rFonts w:cs="Times New Roman"/>
        </w:rPr>
        <w:t xml:space="preserve">The </w:t>
      </w:r>
      <w:r w:rsidR="00B376A7">
        <w:rPr>
          <w:rFonts w:cs="Times New Roman"/>
        </w:rPr>
        <w:t>application</w:t>
      </w:r>
      <w:r w:rsidR="002C3A71">
        <w:rPr>
          <w:rFonts w:cs="Times New Roman"/>
        </w:rPr>
        <w:t xml:space="preserve"> was supported by documentation from </w:t>
      </w:r>
      <w:r w:rsidRPr="00B62AAA">
        <w:rPr>
          <w:bCs/>
        </w:rPr>
        <w:t>Aqua</w:t>
      </w:r>
      <w:r w:rsidR="00B376A7" w:rsidRPr="00B376A7">
        <w:t xml:space="preserve"> which confirms the </w:t>
      </w:r>
      <w:r>
        <w:t>total amount charge</w:t>
      </w:r>
      <w:r w:rsidR="008A27AD">
        <w:t>d</w:t>
      </w:r>
      <w:r>
        <w:t xml:space="preserve"> to Aqua, and the true-up charges.</w:t>
      </w:r>
      <w:r w:rsidR="00B376A7">
        <w:rPr>
          <w:rStyle w:val="FootnoteReference"/>
          <w:rFonts w:cs="Times New Roman"/>
        </w:rPr>
        <w:footnoteReference w:id="6"/>
      </w:r>
      <w:r w:rsidR="00E529FF" w:rsidRPr="00B1783D">
        <w:rPr>
          <w:rFonts w:cs="Times New Roman"/>
        </w:rPr>
        <w:t xml:space="preserve"> </w:t>
      </w:r>
      <w:r w:rsidR="00332EEF">
        <w:rPr>
          <w:rFonts w:cs="Times New Roman"/>
        </w:rPr>
        <w:t xml:space="preserve"> The formula for the true-up </w:t>
      </w:r>
      <w:r w:rsidR="009B3489">
        <w:rPr>
          <w:rFonts w:cs="Times New Roman"/>
        </w:rPr>
        <w:t xml:space="preserve">report </w:t>
      </w:r>
      <w:r w:rsidR="00332EEF">
        <w:rPr>
          <w:rFonts w:cs="Times New Roman"/>
        </w:rPr>
        <w:t>changed in Docket 53264</w:t>
      </w:r>
      <w:r w:rsidR="00C80C68">
        <w:rPr>
          <w:rStyle w:val="FootnoteReference"/>
          <w:rFonts w:cs="Times New Roman"/>
        </w:rPr>
        <w:footnoteReference w:id="7"/>
      </w:r>
      <w:r w:rsidR="00332EEF">
        <w:rPr>
          <w:rFonts w:cs="Times New Roman"/>
        </w:rPr>
        <w:t xml:space="preserve"> and was used </w:t>
      </w:r>
      <w:r w:rsidR="00332EEF">
        <w:rPr>
          <w:rFonts w:cs="Times New Roman"/>
        </w:rPr>
        <w:lastRenderedPageBreak/>
        <w:t xml:space="preserve">for the regional pass-through gallonage true-up </w:t>
      </w:r>
      <w:r w:rsidR="004A0BFF">
        <w:rPr>
          <w:rFonts w:cs="Times New Roman"/>
        </w:rPr>
        <w:t>and</w:t>
      </w:r>
      <w:r w:rsidR="00332EEF">
        <w:rPr>
          <w:rFonts w:cs="Times New Roman"/>
        </w:rPr>
        <w:t xml:space="preserve"> adjustment provision for this 2022 application.</w:t>
      </w:r>
      <w:r w:rsidR="00332EEF">
        <w:rPr>
          <w:rStyle w:val="FootnoteReference"/>
          <w:rFonts w:cs="Times New Roman"/>
        </w:rPr>
        <w:footnoteReference w:id="8"/>
      </w:r>
    </w:p>
    <w:p w14:paraId="0FEE86FD" w14:textId="77777777" w:rsidR="0079381E" w:rsidRDefault="0079381E" w:rsidP="00BB3B7E">
      <w:pPr>
        <w:jc w:val="both"/>
        <w:rPr>
          <w:rFonts w:cs="Times New Roman"/>
        </w:rPr>
      </w:pPr>
    </w:p>
    <w:p w14:paraId="4CBD4D2F" w14:textId="2B966652" w:rsidR="006A3276" w:rsidRPr="00311D07" w:rsidRDefault="0079381E" w:rsidP="00E60211">
      <w:pPr>
        <w:pStyle w:val="CommentText"/>
        <w:jc w:val="both"/>
        <w:rPr>
          <w:sz w:val="24"/>
          <w:szCs w:val="24"/>
        </w:rPr>
      </w:pPr>
      <w:r w:rsidRPr="00311D07">
        <w:rPr>
          <w:rFonts w:cs="Times New Roman"/>
          <w:sz w:val="24"/>
          <w:szCs w:val="24"/>
        </w:rPr>
        <w:t>I have reviewed the calculations and assumptions used to determine the requested pass-through rate</w:t>
      </w:r>
      <w:r w:rsidR="006A3276">
        <w:rPr>
          <w:rFonts w:cs="Times New Roman"/>
          <w:sz w:val="24"/>
          <w:szCs w:val="24"/>
        </w:rPr>
        <w:t xml:space="preserve">. </w:t>
      </w:r>
      <w:r w:rsidR="006A3276" w:rsidRPr="006A3276">
        <w:rPr>
          <w:rFonts w:cs="Times New Roman"/>
          <w:sz w:val="24"/>
          <w:szCs w:val="24"/>
        </w:rPr>
        <w:t xml:space="preserve">Based upon my review of the underlying calculations and assumptions used to determine its request, I confirm that </w:t>
      </w:r>
      <w:r w:rsidR="00B62AAA" w:rsidRPr="00B62AAA">
        <w:rPr>
          <w:rFonts w:cs="Times New Roman"/>
          <w:sz w:val="24"/>
          <w:szCs w:val="24"/>
        </w:rPr>
        <w:t>Aqua</w:t>
      </w:r>
      <w:r w:rsidR="006A3276" w:rsidRPr="006A3276">
        <w:rPr>
          <w:rFonts w:cs="Times New Roman"/>
          <w:sz w:val="24"/>
          <w:szCs w:val="24"/>
        </w:rPr>
        <w:t>’s pass-through rate is correct</w:t>
      </w:r>
      <w:r w:rsidR="005B068A" w:rsidRPr="00311D07">
        <w:rPr>
          <w:rFonts w:cs="Times New Roman"/>
          <w:sz w:val="24"/>
          <w:szCs w:val="24"/>
        </w:rPr>
        <w:t>.</w:t>
      </w:r>
      <w:r w:rsidR="005B068A" w:rsidRPr="00311D07">
        <w:rPr>
          <w:rStyle w:val="FootnoteReference"/>
          <w:rFonts w:cs="Times New Roman"/>
          <w:sz w:val="24"/>
          <w:szCs w:val="24"/>
        </w:rPr>
        <w:footnoteReference w:id="9"/>
      </w:r>
      <w:r w:rsidRPr="00311D07">
        <w:rPr>
          <w:rFonts w:cs="Times New Roman"/>
          <w:sz w:val="24"/>
          <w:szCs w:val="24"/>
        </w:rPr>
        <w:t xml:space="preserve">  </w:t>
      </w:r>
      <w:r w:rsidR="005B068A" w:rsidRPr="00311D07">
        <w:rPr>
          <w:rFonts w:cs="Times New Roman"/>
          <w:sz w:val="24"/>
          <w:szCs w:val="24"/>
        </w:rPr>
        <w:t>I have also reviewed the calculations and assumptions used to perform the true-up, and I recommend that they too are correct.</w:t>
      </w:r>
      <w:r w:rsidR="005B068A" w:rsidRPr="00311D07">
        <w:rPr>
          <w:rStyle w:val="FootnoteReference"/>
          <w:rFonts w:cs="Times New Roman"/>
          <w:sz w:val="24"/>
          <w:szCs w:val="24"/>
        </w:rPr>
        <w:footnoteReference w:id="10"/>
      </w:r>
      <w:r w:rsidR="005B068A" w:rsidRPr="00311D07">
        <w:rPr>
          <w:rFonts w:cs="Times New Roman"/>
          <w:sz w:val="24"/>
          <w:szCs w:val="24"/>
        </w:rPr>
        <w:t xml:space="preserve"> </w:t>
      </w:r>
    </w:p>
    <w:p w14:paraId="7DFD967E" w14:textId="77777777" w:rsidR="009B3489" w:rsidRDefault="009B3489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4E859166" w14:textId="3DBE3238" w:rsidR="00C907CD" w:rsidRDefault="00A4087D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B1783D">
        <w:rPr>
          <w:rFonts w:cs="Times New Roman"/>
        </w:rPr>
        <w:t>T</w:t>
      </w:r>
      <w:r w:rsidR="00C907CD" w:rsidRPr="00B1783D">
        <w:rPr>
          <w:rFonts w:cs="Times New Roman"/>
        </w:rPr>
        <w:t>he application meet</w:t>
      </w:r>
      <w:r w:rsidR="005B068A">
        <w:rPr>
          <w:rFonts w:cs="Times New Roman"/>
        </w:rPr>
        <w:t>s</w:t>
      </w:r>
      <w:r w:rsidR="00C907CD" w:rsidRPr="00B1783D">
        <w:rPr>
          <w:rFonts w:cs="Times New Roman"/>
        </w:rPr>
        <w:t xml:space="preserve"> the requirements of </w:t>
      </w:r>
      <w:r w:rsidR="00BF241C" w:rsidRPr="00B1783D">
        <w:rPr>
          <w:rFonts w:cs="Times New Roman"/>
        </w:rPr>
        <w:t>16 TAC § 24.25(b)(2)</w:t>
      </w:r>
      <w:r w:rsidR="00C907CD" w:rsidRPr="00B1783D">
        <w:rPr>
          <w:rFonts w:cs="Times New Roman"/>
        </w:rPr>
        <w:t xml:space="preserve">. </w:t>
      </w:r>
      <w:r w:rsidR="00E60211">
        <w:rPr>
          <w:rFonts w:cs="Times New Roman"/>
        </w:rPr>
        <w:t xml:space="preserve"> </w:t>
      </w:r>
      <w:r w:rsidR="00924408" w:rsidRPr="00B1783D">
        <w:rPr>
          <w:rFonts w:cs="Times New Roman"/>
        </w:rPr>
        <w:t xml:space="preserve">I </w:t>
      </w:r>
      <w:r w:rsidR="00C907CD" w:rsidRPr="00B1783D">
        <w:rPr>
          <w:rFonts w:cs="Times New Roman"/>
        </w:rPr>
        <w:t xml:space="preserve">recommend that the application be approved </w:t>
      </w:r>
      <w:r w:rsidR="002A5BC5" w:rsidRPr="002A5BC5">
        <w:rPr>
          <w:rFonts w:cs="Times New Roman"/>
          <w:bCs/>
        </w:rPr>
        <w:t>as filed</w:t>
      </w:r>
      <w:r w:rsidR="00C907CD" w:rsidRPr="00B1783D">
        <w:rPr>
          <w:rFonts w:cs="Times New Roman"/>
        </w:rPr>
        <w:t xml:space="preserve"> and that A</w:t>
      </w:r>
      <w:r w:rsidR="00651480">
        <w:rPr>
          <w:rFonts w:cs="Times New Roman"/>
        </w:rPr>
        <w:t>qua</w:t>
      </w:r>
      <w:r w:rsidR="00C907CD" w:rsidRPr="00B1783D">
        <w:rPr>
          <w:rFonts w:cs="Times New Roman"/>
        </w:rPr>
        <w:t xml:space="preserve"> </w:t>
      </w:r>
      <w:r w:rsidR="0079381E">
        <w:rPr>
          <w:rFonts w:cs="Times New Roman"/>
        </w:rPr>
        <w:t xml:space="preserve">be provided with </w:t>
      </w:r>
      <w:r w:rsidR="00C907CD" w:rsidRPr="00B1783D">
        <w:rPr>
          <w:rFonts w:cs="Times New Roman"/>
        </w:rPr>
        <w:t>a copy of the attached tariff.</w:t>
      </w:r>
    </w:p>
    <w:p w14:paraId="7527E060" w14:textId="77777777" w:rsidR="002C14DE" w:rsidRPr="00B1783D" w:rsidRDefault="002C14DE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15D7B96A" w14:textId="77777777" w:rsidR="00C61AC5" w:rsidRDefault="00C61AC5" w:rsidP="00C907CD">
      <w:pPr>
        <w:jc w:val="both"/>
        <w:rPr>
          <w:rFonts w:cs="Times New Roman"/>
        </w:rPr>
      </w:pPr>
    </w:p>
    <w:p w14:paraId="0FF0D8C6" w14:textId="77777777" w:rsidR="003B3BCF" w:rsidRDefault="003B3BCF" w:rsidP="00C907CD">
      <w:pPr>
        <w:jc w:val="both"/>
        <w:rPr>
          <w:rFonts w:cs="Times New Roman"/>
        </w:rPr>
      </w:pPr>
    </w:p>
    <w:p w14:paraId="25B8DF6D" w14:textId="61B4229F" w:rsidR="003B3BCF" w:rsidRDefault="003B3BCF" w:rsidP="00C907CD">
      <w:pPr>
        <w:jc w:val="both"/>
        <w:rPr>
          <w:rFonts w:cs="Times New Roman"/>
        </w:rPr>
      </w:pPr>
    </w:p>
    <w:p w14:paraId="56A12905" w14:textId="7FAF76EF" w:rsidR="009A4AF5" w:rsidRDefault="009A4AF5" w:rsidP="00C907CD">
      <w:pPr>
        <w:jc w:val="both"/>
        <w:rPr>
          <w:rFonts w:cs="Times New Roman"/>
        </w:rPr>
      </w:pPr>
    </w:p>
    <w:p w14:paraId="0972B207" w14:textId="10246C1F" w:rsidR="009A4AF5" w:rsidRDefault="009A4AF5" w:rsidP="00C907CD">
      <w:pPr>
        <w:jc w:val="both"/>
        <w:rPr>
          <w:rFonts w:cs="Times New Roman"/>
        </w:rPr>
      </w:pPr>
    </w:p>
    <w:p w14:paraId="60548FDE" w14:textId="272010BD" w:rsidR="009A4AF5" w:rsidRDefault="009A4AF5" w:rsidP="00C907CD">
      <w:pPr>
        <w:jc w:val="both"/>
        <w:rPr>
          <w:rFonts w:cs="Times New Roman"/>
        </w:rPr>
      </w:pPr>
    </w:p>
    <w:p w14:paraId="142EFB61" w14:textId="696E6E1C" w:rsidR="009A4AF5" w:rsidRDefault="009A4AF5" w:rsidP="00C907CD">
      <w:pPr>
        <w:jc w:val="both"/>
        <w:rPr>
          <w:rFonts w:cs="Times New Roman"/>
        </w:rPr>
      </w:pPr>
    </w:p>
    <w:p w14:paraId="4C831903" w14:textId="5C63770F" w:rsidR="009A4AF5" w:rsidRDefault="009A4AF5" w:rsidP="00C907CD">
      <w:pPr>
        <w:jc w:val="both"/>
        <w:rPr>
          <w:rFonts w:cs="Times New Roman"/>
        </w:rPr>
      </w:pPr>
    </w:p>
    <w:p w14:paraId="6EDB54A9" w14:textId="6F4BCBE8" w:rsidR="009A4AF5" w:rsidRDefault="009A4AF5" w:rsidP="00C907CD">
      <w:pPr>
        <w:jc w:val="both"/>
        <w:rPr>
          <w:rFonts w:cs="Times New Roman"/>
        </w:rPr>
      </w:pPr>
    </w:p>
    <w:p w14:paraId="49DA6E81" w14:textId="5BCE2201" w:rsidR="009A4AF5" w:rsidRDefault="009A4AF5" w:rsidP="00C907CD">
      <w:pPr>
        <w:jc w:val="both"/>
        <w:rPr>
          <w:rFonts w:cs="Times New Roman"/>
        </w:rPr>
      </w:pPr>
    </w:p>
    <w:p w14:paraId="0DFB63B9" w14:textId="002D5E24" w:rsidR="009A4AF5" w:rsidRDefault="009A4AF5" w:rsidP="00C907CD">
      <w:pPr>
        <w:jc w:val="both"/>
        <w:rPr>
          <w:rFonts w:cs="Times New Roman"/>
        </w:rPr>
      </w:pPr>
    </w:p>
    <w:p w14:paraId="67814BD0" w14:textId="6646685E" w:rsidR="009A4AF5" w:rsidRDefault="009A4AF5" w:rsidP="00C907CD">
      <w:pPr>
        <w:jc w:val="both"/>
        <w:rPr>
          <w:rFonts w:cs="Times New Roman"/>
        </w:rPr>
      </w:pPr>
    </w:p>
    <w:p w14:paraId="361EC567" w14:textId="5587BF6F" w:rsidR="009A4AF5" w:rsidRDefault="009A4AF5" w:rsidP="00C907CD">
      <w:pPr>
        <w:jc w:val="both"/>
        <w:rPr>
          <w:rFonts w:cs="Times New Roman"/>
        </w:rPr>
      </w:pPr>
    </w:p>
    <w:p w14:paraId="53C7D5F2" w14:textId="34678FD6" w:rsidR="009A4AF5" w:rsidRDefault="009A4AF5" w:rsidP="00C907CD">
      <w:pPr>
        <w:jc w:val="both"/>
        <w:rPr>
          <w:rFonts w:cs="Times New Roman"/>
        </w:rPr>
      </w:pPr>
    </w:p>
    <w:p w14:paraId="0405E64E" w14:textId="7160DE7A" w:rsidR="009A4AF5" w:rsidRDefault="009A4AF5" w:rsidP="00C907CD">
      <w:pPr>
        <w:jc w:val="both"/>
        <w:rPr>
          <w:rFonts w:cs="Times New Roman"/>
        </w:rPr>
      </w:pPr>
    </w:p>
    <w:p w14:paraId="2C43EB9A" w14:textId="44B24165" w:rsidR="009A4AF5" w:rsidRDefault="009A4AF5" w:rsidP="00C907CD">
      <w:pPr>
        <w:jc w:val="both"/>
        <w:rPr>
          <w:rFonts w:cs="Times New Roman"/>
        </w:rPr>
      </w:pPr>
    </w:p>
    <w:p w14:paraId="0583A05A" w14:textId="25AB5C50" w:rsidR="009A4AF5" w:rsidRDefault="009A4AF5" w:rsidP="00C907CD">
      <w:pPr>
        <w:jc w:val="both"/>
        <w:rPr>
          <w:rFonts w:cs="Times New Roman"/>
        </w:rPr>
      </w:pPr>
    </w:p>
    <w:p w14:paraId="3A0124B5" w14:textId="58E9FDB5" w:rsidR="009A4AF5" w:rsidRDefault="009A4AF5" w:rsidP="00C907CD">
      <w:pPr>
        <w:jc w:val="both"/>
        <w:rPr>
          <w:rFonts w:cs="Times New Roman"/>
        </w:rPr>
      </w:pPr>
    </w:p>
    <w:p w14:paraId="23B6ED4F" w14:textId="3BBAC066" w:rsidR="009A4AF5" w:rsidRDefault="009A4AF5" w:rsidP="00C907CD">
      <w:pPr>
        <w:jc w:val="both"/>
        <w:rPr>
          <w:rFonts w:cs="Times New Roman"/>
        </w:rPr>
      </w:pPr>
    </w:p>
    <w:p w14:paraId="0673D496" w14:textId="24AF3591" w:rsidR="009A4AF5" w:rsidRDefault="009A4AF5" w:rsidP="00C907CD">
      <w:pPr>
        <w:jc w:val="both"/>
        <w:rPr>
          <w:rFonts w:cs="Times New Roman"/>
        </w:rPr>
      </w:pPr>
    </w:p>
    <w:p w14:paraId="05D4E587" w14:textId="53762F2E" w:rsidR="009A4AF5" w:rsidRDefault="009A4AF5" w:rsidP="00C907CD">
      <w:pPr>
        <w:jc w:val="both"/>
        <w:rPr>
          <w:rFonts w:cs="Times New Roman"/>
        </w:rPr>
      </w:pPr>
    </w:p>
    <w:p w14:paraId="77FCC7F5" w14:textId="0DC8E8B3" w:rsidR="009A4AF5" w:rsidRDefault="009A4AF5" w:rsidP="00C907CD">
      <w:pPr>
        <w:jc w:val="both"/>
        <w:rPr>
          <w:rFonts w:cs="Times New Roman"/>
        </w:rPr>
      </w:pPr>
    </w:p>
    <w:p w14:paraId="6F93E68D" w14:textId="1800B306" w:rsidR="005E3568" w:rsidRDefault="005E3568" w:rsidP="00C907CD">
      <w:pPr>
        <w:jc w:val="both"/>
        <w:rPr>
          <w:rFonts w:cs="Times New Roman"/>
        </w:rPr>
      </w:pPr>
    </w:p>
    <w:p w14:paraId="6DE0B422" w14:textId="77777777" w:rsidR="005E3568" w:rsidRDefault="005E3568" w:rsidP="00C907CD">
      <w:pPr>
        <w:jc w:val="both"/>
        <w:rPr>
          <w:rFonts w:cs="Times New Roman"/>
        </w:rPr>
      </w:pPr>
    </w:p>
    <w:p w14:paraId="3372EDD5" w14:textId="5B1ACF4E" w:rsidR="009A4AF5" w:rsidRDefault="009A4AF5" w:rsidP="00C907CD">
      <w:pPr>
        <w:jc w:val="both"/>
        <w:rPr>
          <w:rFonts w:cs="Times New Roman"/>
        </w:rPr>
      </w:pPr>
    </w:p>
    <w:p w14:paraId="2E8FD5C1" w14:textId="5F080E99" w:rsidR="009A4AF5" w:rsidRDefault="009A4AF5" w:rsidP="00C907CD">
      <w:pPr>
        <w:jc w:val="both"/>
        <w:rPr>
          <w:rFonts w:cs="Times New Roman"/>
        </w:rPr>
      </w:pPr>
    </w:p>
    <w:p w14:paraId="5324FA58" w14:textId="4CA4D7FC" w:rsidR="009A4AF5" w:rsidRDefault="009A4AF5" w:rsidP="00C907CD">
      <w:pPr>
        <w:jc w:val="both"/>
        <w:rPr>
          <w:rFonts w:cs="Times New Roman"/>
        </w:rPr>
      </w:pPr>
    </w:p>
    <w:p w14:paraId="6AFECC77" w14:textId="4BF6DCFA" w:rsidR="009A4AF5" w:rsidRDefault="009A4AF5" w:rsidP="00C907CD">
      <w:pPr>
        <w:jc w:val="both"/>
        <w:rPr>
          <w:rFonts w:cs="Times New Roman"/>
        </w:rPr>
      </w:pPr>
    </w:p>
    <w:p w14:paraId="58884473" w14:textId="77777777" w:rsidR="009A4AF5" w:rsidRDefault="009A4AF5" w:rsidP="00C907CD">
      <w:pPr>
        <w:jc w:val="both"/>
        <w:rPr>
          <w:rFonts w:cs="Times New Roman"/>
        </w:rPr>
      </w:pPr>
    </w:p>
    <w:p w14:paraId="4060149E" w14:textId="77777777" w:rsidR="003B3BCF" w:rsidRPr="009A4AF5" w:rsidRDefault="003B3BCF" w:rsidP="003B3BCF">
      <w:pPr>
        <w:tabs>
          <w:tab w:val="left" w:pos="0"/>
        </w:tabs>
        <w:jc w:val="both"/>
        <w:rPr>
          <w:rFonts w:cs="Times New Roman"/>
        </w:rPr>
      </w:pPr>
      <w:r w:rsidRPr="009A4AF5">
        <w:rPr>
          <w:rFonts w:cs="Times New Roman"/>
        </w:rPr>
        <w:t>cc:</w:t>
      </w:r>
    </w:p>
    <w:p w14:paraId="4103B7D5" w14:textId="6A5F8A90" w:rsidR="003B3BCF" w:rsidRDefault="009A4AF5" w:rsidP="003B3BCF">
      <w:pPr>
        <w:tabs>
          <w:tab w:val="left" w:pos="0"/>
        </w:tabs>
        <w:jc w:val="both"/>
        <w:rPr>
          <w:rFonts w:cs="Times New Roman"/>
        </w:rPr>
      </w:pPr>
      <w:r w:rsidRPr="009A4AF5">
        <w:rPr>
          <w:rFonts w:cs="Times New Roman"/>
        </w:rPr>
        <w:t>Anna Givens, Director of Financial Review, Rate Regulation Division</w:t>
      </w:r>
    </w:p>
    <w:p w14:paraId="3CFD830D" w14:textId="64995BB1" w:rsidR="009B3489" w:rsidRPr="009A4AF5" w:rsidRDefault="009A4AF5" w:rsidP="003B3BCF">
      <w:pPr>
        <w:tabs>
          <w:tab w:val="left" w:pos="0"/>
        </w:tabs>
        <w:jc w:val="both"/>
        <w:rPr>
          <w:rFonts w:cs="Times New Roman"/>
        </w:rPr>
      </w:pPr>
      <w:r w:rsidRPr="009A4AF5">
        <w:rPr>
          <w:rFonts w:cs="Times New Roman"/>
        </w:rPr>
        <w:t>John Harrison, Managing Attorney, Legal Division</w:t>
      </w:r>
    </w:p>
    <w:sectPr w:rsidR="009B3489" w:rsidRPr="009A4AF5" w:rsidSect="009B3489">
      <w:headerReference w:type="even" r:id="rId8"/>
      <w:headerReference w:type="default" r:id="rId9"/>
      <w:footerReference w:type="even" r:id="rId10"/>
      <w:endnotePr>
        <w:numFmt w:val="lowerLetter"/>
      </w:endnotePr>
      <w:type w:val="continuous"/>
      <w:pgSz w:w="12240" w:h="15840"/>
      <w:pgMar w:top="720" w:right="1440" w:bottom="720" w:left="1440" w:header="72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26784" w14:textId="77777777" w:rsidR="00E01CC1" w:rsidRDefault="00E01CC1">
      <w:r>
        <w:separator/>
      </w:r>
    </w:p>
  </w:endnote>
  <w:endnote w:type="continuationSeparator" w:id="0">
    <w:p w14:paraId="3A76416C" w14:textId="77777777" w:rsidR="00E01CC1" w:rsidRDefault="00E0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1AF35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8E201" w14:textId="77777777" w:rsidR="00E01CC1" w:rsidRDefault="00E01CC1">
      <w:r>
        <w:separator/>
      </w:r>
    </w:p>
  </w:footnote>
  <w:footnote w:type="continuationSeparator" w:id="0">
    <w:p w14:paraId="354C7317" w14:textId="77777777" w:rsidR="00E01CC1" w:rsidRDefault="00E01CC1">
      <w:r>
        <w:continuationSeparator/>
      </w:r>
    </w:p>
  </w:footnote>
  <w:footnote w:id="1">
    <w:p w14:paraId="1A6E5DBD" w14:textId="357DA206" w:rsidR="00F64187" w:rsidRDefault="00F64187" w:rsidP="00F6418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Aqua’s Supplemental</w:t>
      </w:r>
      <w:r w:rsidR="009B3489">
        <w:t xml:space="preserve"> </w:t>
      </w:r>
      <w:r>
        <w:t>Application Information at 3 (Mar. 21, 2023)</w:t>
      </w:r>
    </w:p>
  </w:footnote>
  <w:footnote w:id="2">
    <w:p w14:paraId="55FD809B" w14:textId="6DCC5C4D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)(I).</w:t>
      </w:r>
    </w:p>
  </w:footnote>
  <w:footnote w:id="3">
    <w:p w14:paraId="793B8C47" w14:textId="5D438DBB" w:rsidR="00B376A7" w:rsidRDefault="00B376A7" w:rsidP="00B376A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)(VIII).</w:t>
      </w:r>
    </w:p>
  </w:footnote>
  <w:footnote w:id="4">
    <w:p w14:paraId="7C81750D" w14:textId="2CC74206" w:rsidR="005B068A" w:rsidRDefault="005B068A" w:rsidP="005B068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)(III).</w:t>
      </w:r>
    </w:p>
  </w:footnote>
  <w:footnote w:id="5">
    <w:p w14:paraId="0D747E45" w14:textId="733CA5EF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)(II).</w:t>
      </w:r>
    </w:p>
  </w:footnote>
  <w:footnote w:id="6">
    <w:p w14:paraId="70A47FBC" w14:textId="4C1B82C3" w:rsidR="00B376A7" w:rsidRDefault="00B376A7" w:rsidP="005B068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)(V).</w:t>
      </w:r>
    </w:p>
  </w:footnote>
  <w:footnote w:id="7">
    <w:p w14:paraId="40D129B2" w14:textId="537F9794" w:rsidR="00C80C68" w:rsidRPr="00E7223C" w:rsidRDefault="00C80C68" w:rsidP="00E7223C">
      <w:pPr>
        <w:pStyle w:val="FootnoteText"/>
        <w:spacing w:after="120"/>
        <w:ind w:firstLine="720"/>
        <w:jc w:val="both"/>
      </w:pP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>Application of Aqua Texas, Inc. for 2021 True-Up Report and Pass-Through Gallonage Charge for Its North Region</w:t>
      </w:r>
      <w:r>
        <w:t>, Notice of Approval, Finding of Fact 25 (Oct. 24, 2022).</w:t>
      </w:r>
    </w:p>
  </w:footnote>
  <w:footnote w:id="8">
    <w:p w14:paraId="466C0919" w14:textId="2E6CD3F4" w:rsidR="00332EEF" w:rsidRDefault="009A4AF5" w:rsidP="009A4AF5">
      <w:pPr>
        <w:pStyle w:val="FootnoteText"/>
        <w:spacing w:after="120"/>
        <w:jc w:val="both"/>
      </w:pPr>
      <w:r>
        <w:tab/>
      </w:r>
      <w:r w:rsidR="00332EEF">
        <w:rPr>
          <w:rStyle w:val="FootnoteReference"/>
        </w:rPr>
        <w:footnoteRef/>
      </w:r>
      <w:r w:rsidR="00332EEF">
        <w:t xml:space="preserve"> </w:t>
      </w:r>
      <w:r w:rsidR="0043372B">
        <w:t xml:space="preserve"> </w:t>
      </w:r>
      <w:r w:rsidR="0043372B" w:rsidRPr="00E7223C">
        <w:rPr>
          <w:i/>
          <w:iCs/>
        </w:rPr>
        <w:t>Application</w:t>
      </w:r>
      <w:r w:rsidR="0043372B" w:rsidRPr="00E7223C">
        <w:rPr>
          <w:rFonts w:cs="Times New Roman"/>
          <w:i/>
          <w:iCs/>
        </w:rPr>
        <w:t xml:space="preserve"> of Aqua Texas, Inc. for 2022 True-Up Report and Pass-Through Gallonage Charge for </w:t>
      </w:r>
      <w:r w:rsidR="00C80C68">
        <w:rPr>
          <w:rFonts w:cs="Times New Roman"/>
          <w:i/>
          <w:iCs/>
        </w:rPr>
        <w:t>I</w:t>
      </w:r>
      <w:r w:rsidR="0043372B" w:rsidRPr="00E7223C">
        <w:rPr>
          <w:rFonts w:cs="Times New Roman"/>
          <w:i/>
          <w:iCs/>
        </w:rPr>
        <w:t>ts North Region</w:t>
      </w:r>
      <w:r w:rsidR="00646A0D">
        <w:rPr>
          <w:rFonts w:cs="Times New Roman"/>
        </w:rPr>
        <w:t xml:space="preserve"> at 1 (Feb</w:t>
      </w:r>
      <w:r w:rsidR="004216CD">
        <w:rPr>
          <w:rFonts w:cs="Times New Roman"/>
        </w:rPr>
        <w:t>.</w:t>
      </w:r>
      <w:r w:rsidR="00646A0D">
        <w:rPr>
          <w:rFonts w:cs="Times New Roman"/>
        </w:rPr>
        <w:t xml:space="preserve"> 23, 2023).</w:t>
      </w:r>
    </w:p>
  </w:footnote>
  <w:footnote w:id="9">
    <w:p w14:paraId="71C54D19" w14:textId="4B0E6C8A" w:rsidR="005B068A" w:rsidRDefault="005B068A" w:rsidP="00646A0D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)(VII).</w:t>
      </w:r>
    </w:p>
  </w:footnote>
  <w:footnote w:id="10">
    <w:p w14:paraId="392BB763" w14:textId="27492BB6" w:rsidR="005B068A" w:rsidRDefault="005B068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>)(VI).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50905" w14:textId="6E28C9E5" w:rsidR="009B3489" w:rsidRDefault="009B3489" w:rsidP="000B1176">
    <w:pPr>
      <w:pStyle w:val="Header"/>
      <w:spacing w:after="160" w:line="259" w:lineRule="auto"/>
      <w:jc w:val="center"/>
      <w:rPr>
        <w:sz w:val="20"/>
        <w:szCs w:val="20"/>
      </w:rPr>
    </w:pPr>
    <w:r w:rsidRPr="000B1176">
      <w:rPr>
        <w:sz w:val="20"/>
        <w:szCs w:val="20"/>
      </w:rPr>
      <w:t>Tariff Control No. 54679</w:t>
    </w:r>
    <w:r w:rsidRPr="000B1176">
      <w:rPr>
        <w:sz w:val="20"/>
        <w:szCs w:val="20"/>
      </w:rPr>
      <w:tab/>
      <w:t>Memorandum of Sandra Hale (</w:t>
    </w:r>
    <w:r w:rsidRPr="00823946">
      <w:rPr>
        <w:sz w:val="20"/>
        <w:szCs w:val="20"/>
      </w:rPr>
      <w:t xml:space="preserve">May </w:t>
    </w:r>
    <w:r w:rsidR="00823946">
      <w:rPr>
        <w:sz w:val="20"/>
        <w:szCs w:val="20"/>
      </w:rPr>
      <w:t>30</w:t>
    </w:r>
    <w:r w:rsidRPr="000B1176">
      <w:rPr>
        <w:sz w:val="20"/>
        <w:szCs w:val="20"/>
      </w:rPr>
      <w:t>, 2023)</w:t>
    </w:r>
    <w:r w:rsidRPr="000B1176">
      <w:rPr>
        <w:sz w:val="20"/>
        <w:szCs w:val="20"/>
      </w:rPr>
      <w:tab/>
      <w:t>Page 2 of 2</w:t>
    </w:r>
  </w:p>
  <w:p w14:paraId="2FB1C151" w14:textId="77777777" w:rsidR="000B1176" w:rsidRPr="000B1176" w:rsidRDefault="000B1176" w:rsidP="000B1176">
    <w:pPr>
      <w:pStyle w:val="Header"/>
      <w:spacing w:after="160" w:line="259" w:lineRule="auto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59B3B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5BE11E18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664C5BB4" w14:textId="77777777" w:rsidR="00B71BBD" w:rsidRPr="00AF6052" w:rsidRDefault="00B71BBD" w:rsidP="00B71BBD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1A66F231" w14:textId="77777777" w:rsidR="00B71BBD" w:rsidRPr="00AF6052" w:rsidRDefault="00B71BBD" w:rsidP="00B71BBD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7A66078E" w14:textId="77777777" w:rsidR="00B71BBD" w:rsidRPr="00C14068" w:rsidRDefault="00B71BBD" w:rsidP="00C14068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373CD6E9" w14:textId="77777777" w:rsidR="00A44255" w:rsidRDefault="00A44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4084387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 w16cid:durableId="122745116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 w16cid:durableId="744496145">
    <w:abstractNumId w:val="1"/>
  </w:num>
  <w:num w:numId="4" w16cid:durableId="585303665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 w16cid:durableId="156847560">
    <w:abstractNumId w:val="5"/>
  </w:num>
  <w:num w:numId="6" w16cid:durableId="1970933295">
    <w:abstractNumId w:val="11"/>
  </w:num>
  <w:num w:numId="7" w16cid:durableId="1874345663">
    <w:abstractNumId w:val="2"/>
  </w:num>
  <w:num w:numId="8" w16cid:durableId="964969592">
    <w:abstractNumId w:val="19"/>
  </w:num>
  <w:num w:numId="9" w16cid:durableId="967276875">
    <w:abstractNumId w:val="17"/>
  </w:num>
  <w:num w:numId="10" w16cid:durableId="924536921">
    <w:abstractNumId w:val="17"/>
  </w:num>
  <w:num w:numId="11" w16cid:durableId="13353811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016172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2626954">
    <w:abstractNumId w:val="3"/>
  </w:num>
  <w:num w:numId="14" w16cid:durableId="911696591">
    <w:abstractNumId w:val="16"/>
  </w:num>
  <w:num w:numId="15" w16cid:durableId="7272674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35427">
    <w:abstractNumId w:val="8"/>
  </w:num>
  <w:num w:numId="17" w16cid:durableId="224068727">
    <w:abstractNumId w:val="12"/>
  </w:num>
  <w:num w:numId="18" w16cid:durableId="1280839148">
    <w:abstractNumId w:val="10"/>
  </w:num>
  <w:num w:numId="19" w16cid:durableId="407534301">
    <w:abstractNumId w:val="14"/>
  </w:num>
  <w:num w:numId="20" w16cid:durableId="112134816">
    <w:abstractNumId w:val="4"/>
  </w:num>
  <w:num w:numId="21" w16cid:durableId="271254045">
    <w:abstractNumId w:val="18"/>
  </w:num>
  <w:num w:numId="22" w16cid:durableId="513422848">
    <w:abstractNumId w:val="9"/>
  </w:num>
  <w:num w:numId="23" w16cid:durableId="1397631791">
    <w:abstractNumId w:val="15"/>
  </w:num>
  <w:num w:numId="24" w16cid:durableId="491482444">
    <w:abstractNumId w:val="13"/>
  </w:num>
  <w:num w:numId="25" w16cid:durableId="1752775178">
    <w:abstractNumId w:val="6"/>
  </w:num>
  <w:num w:numId="26" w16cid:durableId="18006089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CC1"/>
    <w:rsid w:val="00005130"/>
    <w:rsid w:val="00006CB8"/>
    <w:rsid w:val="00011D2E"/>
    <w:rsid w:val="00013FF0"/>
    <w:rsid w:val="0001437A"/>
    <w:rsid w:val="00015305"/>
    <w:rsid w:val="00017936"/>
    <w:rsid w:val="00017FA6"/>
    <w:rsid w:val="00024E29"/>
    <w:rsid w:val="00027F22"/>
    <w:rsid w:val="00032E46"/>
    <w:rsid w:val="00033835"/>
    <w:rsid w:val="00033CAF"/>
    <w:rsid w:val="000354D6"/>
    <w:rsid w:val="00035832"/>
    <w:rsid w:val="00035DA1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87D5F"/>
    <w:rsid w:val="0009278F"/>
    <w:rsid w:val="00093342"/>
    <w:rsid w:val="00095B0A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176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2797"/>
    <w:rsid w:val="00114CBF"/>
    <w:rsid w:val="00114F1A"/>
    <w:rsid w:val="001170B9"/>
    <w:rsid w:val="001170C2"/>
    <w:rsid w:val="00120386"/>
    <w:rsid w:val="001222B8"/>
    <w:rsid w:val="00125461"/>
    <w:rsid w:val="001324DF"/>
    <w:rsid w:val="00136E0B"/>
    <w:rsid w:val="00137721"/>
    <w:rsid w:val="00137B02"/>
    <w:rsid w:val="001417FC"/>
    <w:rsid w:val="001435DE"/>
    <w:rsid w:val="001444D0"/>
    <w:rsid w:val="001529AF"/>
    <w:rsid w:val="0015564A"/>
    <w:rsid w:val="00157586"/>
    <w:rsid w:val="0016497B"/>
    <w:rsid w:val="00164ABC"/>
    <w:rsid w:val="00166748"/>
    <w:rsid w:val="00173B06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B323B"/>
    <w:rsid w:val="001B3C11"/>
    <w:rsid w:val="001B3DDD"/>
    <w:rsid w:val="001B4B04"/>
    <w:rsid w:val="001B5173"/>
    <w:rsid w:val="001B5369"/>
    <w:rsid w:val="001C0B7C"/>
    <w:rsid w:val="001C1ACF"/>
    <w:rsid w:val="001C421A"/>
    <w:rsid w:val="001C7471"/>
    <w:rsid w:val="001D06D4"/>
    <w:rsid w:val="001D266B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A5BC5"/>
    <w:rsid w:val="002B61A7"/>
    <w:rsid w:val="002C0E8F"/>
    <w:rsid w:val="002C1186"/>
    <w:rsid w:val="002C14DE"/>
    <w:rsid w:val="002C1A5B"/>
    <w:rsid w:val="002C1DE8"/>
    <w:rsid w:val="002C360C"/>
    <w:rsid w:val="002C3A71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22D6F"/>
    <w:rsid w:val="003243FC"/>
    <w:rsid w:val="00325FC9"/>
    <w:rsid w:val="003305C4"/>
    <w:rsid w:val="0033149F"/>
    <w:rsid w:val="00332318"/>
    <w:rsid w:val="00332EEF"/>
    <w:rsid w:val="0034417A"/>
    <w:rsid w:val="00351ADD"/>
    <w:rsid w:val="00351CC0"/>
    <w:rsid w:val="00354F76"/>
    <w:rsid w:val="00361F73"/>
    <w:rsid w:val="0036561E"/>
    <w:rsid w:val="003656F0"/>
    <w:rsid w:val="003672D6"/>
    <w:rsid w:val="003707D1"/>
    <w:rsid w:val="003743D1"/>
    <w:rsid w:val="00380B1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E182E"/>
    <w:rsid w:val="003E1DC6"/>
    <w:rsid w:val="003E4B32"/>
    <w:rsid w:val="003E5C06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1043"/>
    <w:rsid w:val="004148E6"/>
    <w:rsid w:val="00415D99"/>
    <w:rsid w:val="004175D0"/>
    <w:rsid w:val="00417F2A"/>
    <w:rsid w:val="004216CD"/>
    <w:rsid w:val="00421CDF"/>
    <w:rsid w:val="00422E6C"/>
    <w:rsid w:val="00423816"/>
    <w:rsid w:val="004244BA"/>
    <w:rsid w:val="00425F6F"/>
    <w:rsid w:val="0042706B"/>
    <w:rsid w:val="00427F92"/>
    <w:rsid w:val="00430364"/>
    <w:rsid w:val="004326B3"/>
    <w:rsid w:val="0043372B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0BFF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651C"/>
    <w:rsid w:val="004F061C"/>
    <w:rsid w:val="004F1A1F"/>
    <w:rsid w:val="004F417E"/>
    <w:rsid w:val="0050030E"/>
    <w:rsid w:val="0050348E"/>
    <w:rsid w:val="005034E4"/>
    <w:rsid w:val="00504B65"/>
    <w:rsid w:val="00505468"/>
    <w:rsid w:val="00511D59"/>
    <w:rsid w:val="00512208"/>
    <w:rsid w:val="0051334B"/>
    <w:rsid w:val="00513B04"/>
    <w:rsid w:val="00513DD2"/>
    <w:rsid w:val="00522D3B"/>
    <w:rsid w:val="00526AF4"/>
    <w:rsid w:val="0052776F"/>
    <w:rsid w:val="0052797C"/>
    <w:rsid w:val="005306FA"/>
    <w:rsid w:val="0053098A"/>
    <w:rsid w:val="0053190C"/>
    <w:rsid w:val="00531C2D"/>
    <w:rsid w:val="005334CF"/>
    <w:rsid w:val="00534302"/>
    <w:rsid w:val="0053587B"/>
    <w:rsid w:val="00540354"/>
    <w:rsid w:val="00547A0E"/>
    <w:rsid w:val="00547D93"/>
    <w:rsid w:val="00547FEF"/>
    <w:rsid w:val="00560E06"/>
    <w:rsid w:val="0056169F"/>
    <w:rsid w:val="0056717A"/>
    <w:rsid w:val="0057066E"/>
    <w:rsid w:val="005731D6"/>
    <w:rsid w:val="0057604A"/>
    <w:rsid w:val="005809F9"/>
    <w:rsid w:val="00580F96"/>
    <w:rsid w:val="00582E35"/>
    <w:rsid w:val="005875BD"/>
    <w:rsid w:val="005A0DCC"/>
    <w:rsid w:val="005A64FD"/>
    <w:rsid w:val="005A790E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3568"/>
    <w:rsid w:val="005E4B8D"/>
    <w:rsid w:val="005E5A5E"/>
    <w:rsid w:val="005E5D75"/>
    <w:rsid w:val="005E73F0"/>
    <w:rsid w:val="005E7A19"/>
    <w:rsid w:val="005F0237"/>
    <w:rsid w:val="005F1D5E"/>
    <w:rsid w:val="005F3374"/>
    <w:rsid w:val="005F3936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46A0D"/>
    <w:rsid w:val="00651480"/>
    <w:rsid w:val="0065265F"/>
    <w:rsid w:val="006530BA"/>
    <w:rsid w:val="0065572C"/>
    <w:rsid w:val="00655FA1"/>
    <w:rsid w:val="00657B10"/>
    <w:rsid w:val="00657B20"/>
    <w:rsid w:val="0066121B"/>
    <w:rsid w:val="00664680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C01B2"/>
    <w:rsid w:val="006C031F"/>
    <w:rsid w:val="006C4C93"/>
    <w:rsid w:val="006C50CD"/>
    <w:rsid w:val="006C667A"/>
    <w:rsid w:val="006D0AA3"/>
    <w:rsid w:val="006D6305"/>
    <w:rsid w:val="006E1256"/>
    <w:rsid w:val="006E2A1C"/>
    <w:rsid w:val="006E44B8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5BBC"/>
    <w:rsid w:val="007365E5"/>
    <w:rsid w:val="00736AD8"/>
    <w:rsid w:val="007404EB"/>
    <w:rsid w:val="00741486"/>
    <w:rsid w:val="0074200A"/>
    <w:rsid w:val="00743BA8"/>
    <w:rsid w:val="00745FB6"/>
    <w:rsid w:val="00746930"/>
    <w:rsid w:val="00747852"/>
    <w:rsid w:val="00752C8D"/>
    <w:rsid w:val="007534D6"/>
    <w:rsid w:val="00754BAC"/>
    <w:rsid w:val="007557EA"/>
    <w:rsid w:val="007617B7"/>
    <w:rsid w:val="00763019"/>
    <w:rsid w:val="007667F2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B90"/>
    <w:rsid w:val="007B7B0F"/>
    <w:rsid w:val="007C4C01"/>
    <w:rsid w:val="007C664B"/>
    <w:rsid w:val="007C7EB3"/>
    <w:rsid w:val="007D00F0"/>
    <w:rsid w:val="007D074C"/>
    <w:rsid w:val="007E1D14"/>
    <w:rsid w:val="007E3C5A"/>
    <w:rsid w:val="007E5353"/>
    <w:rsid w:val="007E5D64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3946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5038C"/>
    <w:rsid w:val="008531AA"/>
    <w:rsid w:val="00855F9D"/>
    <w:rsid w:val="00857439"/>
    <w:rsid w:val="008625AC"/>
    <w:rsid w:val="008644F9"/>
    <w:rsid w:val="00871E6E"/>
    <w:rsid w:val="0087357B"/>
    <w:rsid w:val="00876FD1"/>
    <w:rsid w:val="00882A0A"/>
    <w:rsid w:val="00885484"/>
    <w:rsid w:val="008938BE"/>
    <w:rsid w:val="008965B1"/>
    <w:rsid w:val="0089719D"/>
    <w:rsid w:val="008A1BE9"/>
    <w:rsid w:val="008A27AD"/>
    <w:rsid w:val="008A3695"/>
    <w:rsid w:val="008A6441"/>
    <w:rsid w:val="008A6710"/>
    <w:rsid w:val="008B4663"/>
    <w:rsid w:val="008B4F57"/>
    <w:rsid w:val="008B5ED6"/>
    <w:rsid w:val="008B6134"/>
    <w:rsid w:val="008C292F"/>
    <w:rsid w:val="008C5B42"/>
    <w:rsid w:val="008D0767"/>
    <w:rsid w:val="008D1531"/>
    <w:rsid w:val="008D40FE"/>
    <w:rsid w:val="008D46A1"/>
    <w:rsid w:val="008D5C59"/>
    <w:rsid w:val="008E04BD"/>
    <w:rsid w:val="008E0A99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4929"/>
    <w:rsid w:val="00966DFE"/>
    <w:rsid w:val="0097003B"/>
    <w:rsid w:val="0097175D"/>
    <w:rsid w:val="00972FE5"/>
    <w:rsid w:val="0097358F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A4AF5"/>
    <w:rsid w:val="009B31DF"/>
    <w:rsid w:val="009B3489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1BF5"/>
    <w:rsid w:val="00A1251C"/>
    <w:rsid w:val="00A15BD5"/>
    <w:rsid w:val="00A15BF1"/>
    <w:rsid w:val="00A15F9F"/>
    <w:rsid w:val="00A16543"/>
    <w:rsid w:val="00A225E3"/>
    <w:rsid w:val="00A24918"/>
    <w:rsid w:val="00A24FE2"/>
    <w:rsid w:val="00A25DA4"/>
    <w:rsid w:val="00A269F0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6EC2"/>
    <w:rsid w:val="00AC6F49"/>
    <w:rsid w:val="00AD04A7"/>
    <w:rsid w:val="00AD2237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DD4"/>
    <w:rsid w:val="00B174F3"/>
    <w:rsid w:val="00B1783D"/>
    <w:rsid w:val="00B20713"/>
    <w:rsid w:val="00B21D10"/>
    <w:rsid w:val="00B23910"/>
    <w:rsid w:val="00B32F68"/>
    <w:rsid w:val="00B3531E"/>
    <w:rsid w:val="00B36397"/>
    <w:rsid w:val="00B376A7"/>
    <w:rsid w:val="00B41633"/>
    <w:rsid w:val="00B510B6"/>
    <w:rsid w:val="00B52007"/>
    <w:rsid w:val="00B52992"/>
    <w:rsid w:val="00B54478"/>
    <w:rsid w:val="00B62AAA"/>
    <w:rsid w:val="00B62CA4"/>
    <w:rsid w:val="00B71BBD"/>
    <w:rsid w:val="00B73546"/>
    <w:rsid w:val="00B73AFA"/>
    <w:rsid w:val="00B741A3"/>
    <w:rsid w:val="00B764A7"/>
    <w:rsid w:val="00B848E7"/>
    <w:rsid w:val="00B952EA"/>
    <w:rsid w:val="00B95C65"/>
    <w:rsid w:val="00BA00F5"/>
    <w:rsid w:val="00BA0627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E9D"/>
    <w:rsid w:val="00C57C5E"/>
    <w:rsid w:val="00C61AC5"/>
    <w:rsid w:val="00C635B2"/>
    <w:rsid w:val="00C67184"/>
    <w:rsid w:val="00C725B1"/>
    <w:rsid w:val="00C72869"/>
    <w:rsid w:val="00C741D3"/>
    <w:rsid w:val="00C80C68"/>
    <w:rsid w:val="00C82825"/>
    <w:rsid w:val="00C83444"/>
    <w:rsid w:val="00C85893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184F"/>
    <w:rsid w:val="00CF51DC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22CA7"/>
    <w:rsid w:val="00D23496"/>
    <w:rsid w:val="00D31559"/>
    <w:rsid w:val="00D32D33"/>
    <w:rsid w:val="00D3318A"/>
    <w:rsid w:val="00D448E7"/>
    <w:rsid w:val="00D44E11"/>
    <w:rsid w:val="00D46172"/>
    <w:rsid w:val="00D46CBC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57F8C"/>
    <w:rsid w:val="00D6021B"/>
    <w:rsid w:val="00D60DAA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D11A6"/>
    <w:rsid w:val="00DD2AD8"/>
    <w:rsid w:val="00DD5442"/>
    <w:rsid w:val="00DE3394"/>
    <w:rsid w:val="00DE353C"/>
    <w:rsid w:val="00DE5A18"/>
    <w:rsid w:val="00DE673D"/>
    <w:rsid w:val="00DE6DE9"/>
    <w:rsid w:val="00DF1E69"/>
    <w:rsid w:val="00E01CC1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754C"/>
    <w:rsid w:val="00E57E50"/>
    <w:rsid w:val="00E60211"/>
    <w:rsid w:val="00E61A45"/>
    <w:rsid w:val="00E62F9A"/>
    <w:rsid w:val="00E643AD"/>
    <w:rsid w:val="00E665F4"/>
    <w:rsid w:val="00E7051C"/>
    <w:rsid w:val="00E71D5B"/>
    <w:rsid w:val="00E7223C"/>
    <w:rsid w:val="00E72FDC"/>
    <w:rsid w:val="00E74380"/>
    <w:rsid w:val="00E76CE9"/>
    <w:rsid w:val="00E8156D"/>
    <w:rsid w:val="00E86D5F"/>
    <w:rsid w:val="00E86E1C"/>
    <w:rsid w:val="00E90F73"/>
    <w:rsid w:val="00E91112"/>
    <w:rsid w:val="00E93E32"/>
    <w:rsid w:val="00E95EDD"/>
    <w:rsid w:val="00E9625B"/>
    <w:rsid w:val="00EA0649"/>
    <w:rsid w:val="00EB082E"/>
    <w:rsid w:val="00EB180D"/>
    <w:rsid w:val="00EB1970"/>
    <w:rsid w:val="00EB3F90"/>
    <w:rsid w:val="00EB4B08"/>
    <w:rsid w:val="00EB5476"/>
    <w:rsid w:val="00EB6D8F"/>
    <w:rsid w:val="00EC5235"/>
    <w:rsid w:val="00EC6210"/>
    <w:rsid w:val="00EC6F70"/>
    <w:rsid w:val="00EC7296"/>
    <w:rsid w:val="00ED1787"/>
    <w:rsid w:val="00ED3A96"/>
    <w:rsid w:val="00ED73F9"/>
    <w:rsid w:val="00ED74D1"/>
    <w:rsid w:val="00EE0E89"/>
    <w:rsid w:val="00EE2353"/>
    <w:rsid w:val="00EE4D29"/>
    <w:rsid w:val="00EE7F2D"/>
    <w:rsid w:val="00EF34DA"/>
    <w:rsid w:val="00EF3C8E"/>
    <w:rsid w:val="00EF4536"/>
    <w:rsid w:val="00EF51B3"/>
    <w:rsid w:val="00EF5BDD"/>
    <w:rsid w:val="00EF6178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272"/>
    <w:rsid w:val="00F46722"/>
    <w:rsid w:val="00F473E9"/>
    <w:rsid w:val="00F50B0C"/>
    <w:rsid w:val="00F54790"/>
    <w:rsid w:val="00F55657"/>
    <w:rsid w:val="00F562A7"/>
    <w:rsid w:val="00F64187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E35"/>
    <w:rsid w:val="00FD3450"/>
    <w:rsid w:val="00FD3DCB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E84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D604C-C29D-4838-A059-6A009E26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2023-05-30T14:05:00Z</dcterms:created>
  <dcterms:modified xsi:type="dcterms:W3CDTF">2023-05-30T14:05:00Z</dcterms:modified>
</cp:coreProperties>
</file>